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附件1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2025成都国际大健康消费品博览会总体方案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一、名称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(一)中文名称:2025成都国际大健康消费博览会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(二)英文名称:2025Chengdu International Health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Consumption Expo(IHCE)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二、时间、地点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(一)时间:2025年12月5日至7日。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(二)地点:成都世纪城新国际会展中心3号馆。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三、组织机构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(一)指导单位:四川省贸促会、四川省卫生健康委员会、四川省中医药管理局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(二)主办单位:四川国际商会、封面传媒科技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(三)联合主办单位:人民日报社人民健康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(四)承办单位:四川省国际展览中心、封面传媒科技、众生康养(成都)有限公司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(五)协办单位:日中高龄者福祉协会、法国一带一路促进会、中国健康管理协会、中国营养学会、中国中医药学会等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300" w:firstLine="1008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四、活动主题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“健康”触手可得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lastRenderedPageBreak/>
        <w:t>五、活动规模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近15000平方米,参展企业100家,专业客商20000人次。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72"/>
        <w:jc w:val="both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六、展览内容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(一)国际康萃馆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展示国际先进健康理念、服务和产品,国际合作成果和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潜在机会等。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(二)未来健康馆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1.健康管理智能化:AI 人工智能,生物技术,细胞与基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因技术等。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2.健康产业多元化:健康食品、健康旅游、健康金融服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务等。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3.健康医疗模式变革:健康与疾病早期发现和干预等。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4.社会健康共建共享:健康资源的优化配置等。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(三)尊老爱幼馆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1.银发健康服务:诊(医)疗、康复、护理等卫生健康服务,日常生活与家庭护理等服务,适老财务规划与风险管理等金融服务,文化娱乐项目与产品等旅游娱乐服务,老年房产服务,老年教育服务,适老智能设备与产品等。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2.婴幼少健康服务:婴幼儿照护服务与产品,特殊群体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需求服务与产品,家庭支持服务与产品,健康管理与安全保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障服务与产品等。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(四)国潮中医(药)馆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1.中医服务:中医诊疗,中医药文化,中医养生,中医理疗,治未病科服务等。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2.中药产品:道地中药材,药食同源产品,中药制品(剂)</w:t>
      </w:r>
    </w:p>
    <w:p w:rsidR="005C05CF" w:rsidRDefault="005C05CF" w:rsidP="005C05CF">
      <w:pPr>
        <w:pStyle w:val="a7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5C05CF" w:rsidRDefault="005C05CF" w:rsidP="005C05CF">
      <w:pPr>
        <w:pStyle w:val="a7"/>
        <w:widowControl/>
        <w:numPr>
          <w:ilvl w:val="0"/>
          <w:numId w:val="1"/>
        </w:numPr>
        <w:tabs>
          <w:tab w:val="left" w:pos="312"/>
        </w:tabs>
        <w:spacing w:before="0" w:beforeAutospacing="0" w:after="0" w:afterAutospacing="0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综合服务</w:t>
      </w:r>
    </w:p>
    <w:p w:rsidR="002B6478" w:rsidRPr="005C05CF" w:rsidRDefault="005C05CF" w:rsidP="005C05CF">
      <w:pPr>
        <w:pStyle w:val="a7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健康金融服务,健康产品与服务创新成果转化,文旅与康养项目等。</w:t>
      </w:r>
      <w:bookmarkStart w:id="0" w:name="_GoBack"/>
      <w:bookmarkEnd w:id="0"/>
    </w:p>
    <w:sectPr w:rsidR="002B6478" w:rsidRPr="005C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F0" w:rsidRDefault="00382FF0" w:rsidP="005C05CF">
      <w:r>
        <w:separator/>
      </w:r>
    </w:p>
  </w:endnote>
  <w:endnote w:type="continuationSeparator" w:id="0">
    <w:p w:rsidR="00382FF0" w:rsidRDefault="00382FF0" w:rsidP="005C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F0" w:rsidRDefault="00382FF0" w:rsidP="005C05CF">
      <w:r>
        <w:separator/>
      </w:r>
    </w:p>
  </w:footnote>
  <w:footnote w:type="continuationSeparator" w:id="0">
    <w:p w:rsidR="00382FF0" w:rsidRDefault="00382FF0" w:rsidP="005C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AFF08B"/>
    <w:multiLevelType w:val="singleLevel"/>
    <w:tmpl w:val="FFAFF08B"/>
    <w:lvl w:ilvl="0">
      <w:start w:val="5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D"/>
    <w:rsid w:val="002B6478"/>
    <w:rsid w:val="00382FF0"/>
    <w:rsid w:val="005C05CF"/>
    <w:rsid w:val="00A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26211"/>
  <w15:chartTrackingRefBased/>
  <w15:docId w15:val="{84F60D1A-2CF0-4F5F-A32B-BF8C2DDD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C05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5CF"/>
    <w:rPr>
      <w:sz w:val="18"/>
      <w:szCs w:val="18"/>
    </w:rPr>
  </w:style>
  <w:style w:type="paragraph" w:styleId="2">
    <w:name w:val="Body Text Indent 2"/>
    <w:basedOn w:val="a"/>
    <w:link w:val="20"/>
    <w:qFormat/>
    <w:rsid w:val="005C05CF"/>
    <w:pPr>
      <w:spacing w:line="560" w:lineRule="exact"/>
    </w:pPr>
  </w:style>
  <w:style w:type="character" w:customStyle="1" w:styleId="20">
    <w:name w:val="正文文本缩进 2 字符"/>
    <w:basedOn w:val="a0"/>
    <w:link w:val="2"/>
    <w:rsid w:val="005C05CF"/>
    <w:rPr>
      <w:rFonts w:ascii="Calibri" w:eastAsia="宋体" w:hAnsi="Calibri" w:cs="Times New Roman"/>
      <w:szCs w:val="24"/>
    </w:rPr>
  </w:style>
  <w:style w:type="paragraph" w:styleId="a7">
    <w:name w:val="Normal (Web)"/>
    <w:basedOn w:val="a"/>
    <w:rsid w:val="005C05C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2025-11-10T03:27:00Z</dcterms:created>
  <dcterms:modified xsi:type="dcterms:W3CDTF">2025-11-10T03:27:00Z</dcterms:modified>
</cp:coreProperties>
</file>